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609CFB" w14:textId="5A0633C4" w:rsidR="00B60AE3" w:rsidRPr="00B60AE3" w:rsidRDefault="000A6D0E" w:rsidP="00B60AE3">
      <w:pPr>
        <w:widowControl/>
        <w:spacing w:after="200"/>
        <w:jc w:val="left"/>
        <w:rPr>
          <w:rFonts w:eastAsia="宋体" w:cs="Times New Roman"/>
          <w:b/>
          <w:bCs/>
          <w:kern w:val="0"/>
          <w:sz w:val="22"/>
          <w:shd w:val="clear" w:color="auto" w:fill="FFFFFF"/>
          <w:lang w:bidi="ar"/>
        </w:rPr>
      </w:pPr>
      <w:r>
        <w:rPr>
          <w:rFonts w:eastAsia="宋体" w:cs="Times New Roman" w:hint="eastAsia"/>
          <w:b/>
          <w:bCs/>
          <w:kern w:val="0"/>
          <w:sz w:val="22"/>
          <w:shd w:val="clear" w:color="auto" w:fill="FFFFFF"/>
          <w:lang w:bidi="ar"/>
        </w:rPr>
        <w:t xml:space="preserve">Supplementary Table </w:t>
      </w:r>
      <w:bookmarkStart w:id="0" w:name="_GoBack"/>
      <w:bookmarkEnd w:id="0"/>
      <w:r w:rsidR="00B60AE3" w:rsidRPr="00B60AE3">
        <w:rPr>
          <w:rFonts w:eastAsia="宋体" w:cs="Times New Roman" w:hint="eastAsia"/>
          <w:b/>
          <w:bCs/>
          <w:kern w:val="0"/>
          <w:sz w:val="22"/>
          <w:shd w:val="clear" w:color="auto" w:fill="FFFFFF"/>
          <w:lang w:bidi="ar"/>
        </w:rPr>
        <w:t>1. Breakdown of complication types included in the composite primary endpoint (Clavien</w:t>
      </w:r>
      <w:r w:rsidR="00B60AE3" w:rsidRPr="00B60AE3">
        <w:rPr>
          <w:rFonts w:eastAsia="宋体" w:cs="Times New Roman" w:hint="eastAsia"/>
          <w:b/>
          <w:bCs/>
          <w:kern w:val="0"/>
          <w:sz w:val="22"/>
          <w:shd w:val="clear" w:color="auto" w:fill="FFFFFF"/>
          <w:lang w:bidi="ar"/>
        </w:rPr>
        <w:t>–</w:t>
      </w:r>
      <w:r w:rsidR="00B60AE3" w:rsidRPr="00B60AE3">
        <w:rPr>
          <w:rFonts w:eastAsia="宋体" w:cs="Times New Roman" w:hint="eastAsia"/>
          <w:b/>
          <w:bCs/>
          <w:kern w:val="0"/>
          <w:sz w:val="22"/>
          <w:shd w:val="clear" w:color="auto" w:fill="FFFFFF"/>
          <w:lang w:bidi="ar"/>
        </w:rPr>
        <w:t xml:space="preserve">Dindo grade </w:t>
      </w:r>
      <w:r w:rsidR="00B60AE3" w:rsidRPr="00B60AE3">
        <w:rPr>
          <w:rFonts w:eastAsia="宋体" w:cs="Times New Roman" w:hint="eastAsia"/>
          <w:b/>
          <w:bCs/>
          <w:kern w:val="0"/>
          <w:sz w:val="22"/>
          <w:shd w:val="clear" w:color="auto" w:fill="FFFFFF"/>
          <w:lang w:bidi="ar"/>
        </w:rPr>
        <w:t>≥</w:t>
      </w:r>
      <w:r w:rsidR="00B60AE3" w:rsidRPr="00B60AE3">
        <w:rPr>
          <w:rFonts w:eastAsia="宋体" w:cs="Times New Roman" w:hint="eastAsia"/>
          <w:b/>
          <w:bCs/>
          <w:kern w:val="0"/>
          <w:sz w:val="22"/>
          <w:shd w:val="clear" w:color="auto" w:fill="FFFFFF"/>
          <w:lang w:bidi="ar"/>
        </w:rPr>
        <w:t xml:space="preserve"> II) within 30 days after hepatectomy)</w:t>
      </w:r>
      <w:r w:rsidR="00B60AE3" w:rsidRPr="00B60AE3">
        <w:rPr>
          <w:rFonts w:eastAsia="宋体" w:cs="Times New Roman"/>
          <w:b/>
          <w:bCs/>
          <w:kern w:val="0"/>
          <w:sz w:val="22"/>
          <w:shd w:val="clear" w:color="auto" w:fill="FFFFFF"/>
          <w:lang w:bidi="ar"/>
        </w:rPr>
        <w:t>.</w:t>
      </w:r>
    </w:p>
    <w:tbl>
      <w:tblPr>
        <w:tblStyle w:val="a3"/>
        <w:tblW w:w="3667" w:type="pct"/>
        <w:jc w:val="center"/>
        <w:tblLook w:val="04A0" w:firstRow="1" w:lastRow="0" w:firstColumn="1" w:lastColumn="0" w:noHBand="0" w:noVBand="1"/>
      </w:tblPr>
      <w:tblGrid>
        <w:gridCol w:w="3678"/>
        <w:gridCol w:w="2414"/>
      </w:tblGrid>
      <w:tr w:rsidR="00B60AE3" w:rsidRPr="00B60AE3" w14:paraId="559104EE" w14:textId="77777777" w:rsidTr="00B60AE3">
        <w:trPr>
          <w:trHeight w:val="441"/>
          <w:jc w:val="center"/>
        </w:trPr>
        <w:tc>
          <w:tcPr>
            <w:tcW w:w="36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B73492A" w14:textId="77777777" w:rsidR="00B60AE3" w:rsidRPr="00B60AE3" w:rsidRDefault="00B60AE3" w:rsidP="00B60AE3">
            <w:pPr>
              <w:widowControl/>
              <w:spacing w:after="200"/>
              <w:jc w:val="center"/>
              <w:rPr>
                <w:color w:val="000000"/>
                <w:sz w:val="22"/>
              </w:rPr>
            </w:pPr>
            <w:r w:rsidRPr="00B60AE3">
              <w:rPr>
                <w:rFonts w:hint="eastAsia"/>
                <w:sz w:val="22"/>
                <w:lang w:eastAsia="en-US"/>
              </w:rPr>
              <w:t>Complication type</w:t>
            </w:r>
          </w:p>
        </w:tc>
        <w:tc>
          <w:tcPr>
            <w:tcW w:w="24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CA8D06" w14:textId="77777777" w:rsidR="00B60AE3" w:rsidRPr="00B60AE3" w:rsidRDefault="00B60AE3" w:rsidP="00B60AE3">
            <w:pPr>
              <w:widowControl/>
              <w:spacing w:after="200"/>
              <w:jc w:val="center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n (%)</w:t>
            </w:r>
          </w:p>
        </w:tc>
      </w:tr>
      <w:tr w:rsidR="00B60AE3" w:rsidRPr="00B60AE3" w14:paraId="4C12D0F0" w14:textId="77777777" w:rsidTr="00BC32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674" w:type="dxa"/>
            <w:hideMark/>
          </w:tcPr>
          <w:p w14:paraId="377711ED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Infection</w:t>
            </w:r>
          </w:p>
        </w:tc>
        <w:tc>
          <w:tcPr>
            <w:tcW w:w="2411" w:type="dxa"/>
            <w:hideMark/>
          </w:tcPr>
          <w:p w14:paraId="6DF7876A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15 (26.79)</w:t>
            </w:r>
          </w:p>
        </w:tc>
      </w:tr>
      <w:tr w:rsidR="00B60AE3" w:rsidRPr="00B60AE3" w14:paraId="0D122C30" w14:textId="77777777" w:rsidTr="00BC32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674" w:type="dxa"/>
            <w:hideMark/>
          </w:tcPr>
          <w:p w14:paraId="08E66287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Liver failure</w:t>
            </w:r>
          </w:p>
        </w:tc>
        <w:tc>
          <w:tcPr>
            <w:tcW w:w="2411" w:type="dxa"/>
            <w:hideMark/>
          </w:tcPr>
          <w:p w14:paraId="095E98A2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11 (19.64)</w:t>
            </w:r>
          </w:p>
        </w:tc>
      </w:tr>
      <w:tr w:rsidR="00B60AE3" w:rsidRPr="00B60AE3" w14:paraId="2BA4269E" w14:textId="77777777" w:rsidTr="00BC32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674" w:type="dxa"/>
            <w:hideMark/>
          </w:tcPr>
          <w:p w14:paraId="0D35DCCC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Bleeding</w:t>
            </w:r>
          </w:p>
        </w:tc>
        <w:tc>
          <w:tcPr>
            <w:tcW w:w="2411" w:type="dxa"/>
            <w:hideMark/>
          </w:tcPr>
          <w:p w14:paraId="666429CA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10 (17.86)</w:t>
            </w:r>
          </w:p>
        </w:tc>
      </w:tr>
      <w:tr w:rsidR="00B60AE3" w:rsidRPr="00B60AE3" w14:paraId="647CA5C8" w14:textId="77777777" w:rsidTr="00BC32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674" w:type="dxa"/>
            <w:hideMark/>
          </w:tcPr>
          <w:p w14:paraId="536A3504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Thrombosis</w:t>
            </w:r>
          </w:p>
        </w:tc>
        <w:tc>
          <w:tcPr>
            <w:tcW w:w="2411" w:type="dxa"/>
            <w:hideMark/>
          </w:tcPr>
          <w:p w14:paraId="2C80CE72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8 (14.29)</w:t>
            </w:r>
          </w:p>
        </w:tc>
      </w:tr>
      <w:tr w:rsidR="00B60AE3" w:rsidRPr="00B60AE3" w14:paraId="7E1748B4" w14:textId="77777777" w:rsidTr="00BC32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674" w:type="dxa"/>
            <w:hideMark/>
          </w:tcPr>
          <w:p w14:paraId="1CF0D69B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Other</w:t>
            </w:r>
          </w:p>
        </w:tc>
        <w:tc>
          <w:tcPr>
            <w:tcW w:w="2411" w:type="dxa"/>
            <w:hideMark/>
          </w:tcPr>
          <w:p w14:paraId="5E65AFD4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7 (12.50)</w:t>
            </w:r>
          </w:p>
        </w:tc>
      </w:tr>
      <w:tr w:rsidR="00B60AE3" w:rsidRPr="00B60AE3" w14:paraId="3503BA98" w14:textId="77777777" w:rsidTr="00BC32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674" w:type="dxa"/>
            <w:hideMark/>
          </w:tcPr>
          <w:p w14:paraId="5E4D28C9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Ascites</w:t>
            </w:r>
          </w:p>
        </w:tc>
        <w:tc>
          <w:tcPr>
            <w:tcW w:w="2411" w:type="dxa"/>
            <w:hideMark/>
          </w:tcPr>
          <w:p w14:paraId="5122898D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5 (8.93)</w:t>
            </w:r>
          </w:p>
        </w:tc>
      </w:tr>
      <w:tr w:rsidR="00B60AE3" w:rsidRPr="00B60AE3" w14:paraId="69B99D1C" w14:textId="77777777" w:rsidTr="00BC32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jc w:val="center"/>
        </w:trPr>
        <w:tc>
          <w:tcPr>
            <w:tcW w:w="3674" w:type="dxa"/>
            <w:tcBorders>
              <w:bottom w:val="single" w:sz="4" w:space="0" w:color="auto"/>
            </w:tcBorders>
            <w:hideMark/>
          </w:tcPr>
          <w:p w14:paraId="6B1A20EC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Total</w:t>
            </w:r>
          </w:p>
        </w:tc>
        <w:tc>
          <w:tcPr>
            <w:tcW w:w="2411" w:type="dxa"/>
            <w:tcBorders>
              <w:bottom w:val="single" w:sz="4" w:space="0" w:color="auto"/>
            </w:tcBorders>
            <w:hideMark/>
          </w:tcPr>
          <w:p w14:paraId="646DF76B" w14:textId="77777777" w:rsidR="00B60AE3" w:rsidRPr="00B60AE3" w:rsidRDefault="00B60AE3" w:rsidP="00B60AE3">
            <w:pPr>
              <w:widowControl/>
              <w:spacing w:after="200"/>
              <w:jc w:val="left"/>
              <w:rPr>
                <w:color w:val="000000"/>
                <w:sz w:val="22"/>
                <w:lang w:eastAsia="en-US"/>
              </w:rPr>
            </w:pPr>
            <w:r w:rsidRPr="00B60AE3">
              <w:rPr>
                <w:rFonts w:hint="eastAsia"/>
                <w:sz w:val="22"/>
                <w:lang w:eastAsia="en-US"/>
              </w:rPr>
              <w:t>56 (100.00)</w:t>
            </w:r>
          </w:p>
        </w:tc>
      </w:tr>
    </w:tbl>
    <w:p w14:paraId="28976FA6" w14:textId="6DFF4DC8" w:rsidR="00B60AE3" w:rsidRPr="00B60AE3" w:rsidRDefault="00B60AE3" w:rsidP="00B60AE3">
      <w:pPr>
        <w:widowControl/>
        <w:shd w:val="clear" w:color="auto" w:fill="FFFFFF"/>
        <w:spacing w:after="240" w:line="390" w:lineRule="atLeast"/>
        <w:jc w:val="left"/>
        <w:textAlignment w:val="baseline"/>
        <w:rPr>
          <w:rFonts w:ascii="等线" w:eastAsia="等线" w:hAnsi="等线" w:cs="Times New Roman"/>
          <w:kern w:val="0"/>
          <w:szCs w:val="24"/>
          <w:lang w:eastAsia="en-US"/>
        </w:rPr>
      </w:pPr>
    </w:p>
    <w:p w14:paraId="67FF7E07" w14:textId="77777777" w:rsidR="0093494A" w:rsidRDefault="0093494A"/>
    <w:sectPr w:rsidR="009349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C0CAC1" w14:textId="77777777" w:rsidR="001A4571" w:rsidRDefault="001A4571" w:rsidP="000A6D0E">
      <w:r>
        <w:separator/>
      </w:r>
    </w:p>
  </w:endnote>
  <w:endnote w:type="continuationSeparator" w:id="0">
    <w:p w14:paraId="43DCCDA1" w14:textId="77777777" w:rsidR="001A4571" w:rsidRDefault="001A4571" w:rsidP="000A6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07F5DE" w14:textId="77777777" w:rsidR="001A4571" w:rsidRDefault="001A4571" w:rsidP="000A6D0E">
      <w:r>
        <w:separator/>
      </w:r>
    </w:p>
  </w:footnote>
  <w:footnote w:type="continuationSeparator" w:id="0">
    <w:p w14:paraId="301BB418" w14:textId="77777777" w:rsidR="001A4571" w:rsidRDefault="001A4571" w:rsidP="000A6D0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BDF"/>
    <w:rsid w:val="000A6D0E"/>
    <w:rsid w:val="001A4571"/>
    <w:rsid w:val="00924BDF"/>
    <w:rsid w:val="0093494A"/>
    <w:rsid w:val="00B60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A2FE88"/>
  <w15:chartTrackingRefBased/>
  <w15:docId w15:val="{ADA48523-C3DE-4129-83EC-B0B789612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theme="minorBidi"/>
        <w:kern w:val="2"/>
        <w:sz w:val="24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B60AE3"/>
    <w:rPr>
      <w:rFonts w:eastAsia="宋体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A6D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A6D0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A6D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A6D0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Rossi</dc:creator>
  <cp:keywords/>
  <dc:description/>
  <cp:lastModifiedBy>Akira</cp:lastModifiedBy>
  <cp:revision>3</cp:revision>
  <dcterms:created xsi:type="dcterms:W3CDTF">2026-06-11T07:25:00Z</dcterms:created>
  <dcterms:modified xsi:type="dcterms:W3CDTF">2026-06-16T06:09:00Z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481a0c2f-2a67-49ed-9e60-ca38fd1b294f</vt:lpwstr>
  </property>
</Properties>
</file>